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EF0" w:rsidRPr="001F3EF0" w:rsidRDefault="001F3EF0" w:rsidP="001F3EF0">
      <w:pPr>
        <w:shd w:val="clear" w:color="auto" w:fill="101218"/>
        <w:spacing w:after="0" w:line="420" w:lineRule="atLeast"/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</w:pPr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1. Marco </w:t>
      </w:r>
      <w:proofErr w:type="spellStart"/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Constitucional</w:t>
      </w:r>
      <w:proofErr w:type="spellEnd"/>
    </w:p>
    <w:p w:rsidR="001F3EF0" w:rsidRPr="001F3EF0" w:rsidRDefault="001F3EF0" w:rsidP="001F3EF0">
      <w:pPr>
        <w:numPr>
          <w:ilvl w:val="0"/>
          <w:numId w:val="1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hyperlink r:id="rId5" w:tgtFrame="_blank" w:history="1">
        <w:r w:rsidRPr="001F3EF0">
          <w:rPr>
            <w:rFonts w:ascii="Arial" w:eastAsia="Times New Roman" w:hAnsi="Arial" w:cs="Arial"/>
            <w:color w:val="99C3FF"/>
            <w:sz w:val="24"/>
            <w:szCs w:val="24"/>
            <w:u w:val="single"/>
            <w:lang w:val="es-ES"/>
          </w:rPr>
          <w:t>Constitución Política de 1991 (Art. 82)</w:t>
        </w:r>
      </w:hyperlink>
      <w:r w:rsidRPr="001F3EF0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:</w:t>
      </w:r>
      <w:r w:rsidRPr="001F3EF0">
        <w:rPr>
          <w:rFonts w:ascii="Arial" w:eastAsia="Times New Roman" w:hAnsi="Arial" w:cs="Arial"/>
          <w:color w:val="E6E8F0"/>
          <w:sz w:val="24"/>
          <w:szCs w:val="24"/>
          <w:lang w:val="es-ES"/>
        </w:rPr>
        <w:t> Establece el deber del Estado de velar por la integridad del espacio público y su destinación al uso común.</w:t>
      </w:r>
    </w:p>
    <w:p w:rsidR="001F3EF0" w:rsidRPr="001F3EF0" w:rsidRDefault="001F3EF0" w:rsidP="001F3EF0">
      <w:pPr>
        <w:numPr>
          <w:ilvl w:val="0"/>
          <w:numId w:val="1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1F3EF0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Derecho Colectivo (Art. 88):</w:t>
      </w:r>
      <w:r w:rsidRPr="001F3EF0">
        <w:rPr>
          <w:rFonts w:ascii="Arial" w:eastAsia="Times New Roman" w:hAnsi="Arial" w:cs="Arial"/>
          <w:color w:val="E6E8F0"/>
          <w:sz w:val="24"/>
          <w:szCs w:val="24"/>
          <w:lang w:val="es-ES"/>
        </w:rPr>
        <w:t> Define el espacio público como un derecho colectivo protegido a través de </w:t>
      </w:r>
      <w:r w:rsidRPr="001F3EF0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acciones populares</w:t>
      </w:r>
      <w:r w:rsidRPr="001F3EF0">
        <w:rPr>
          <w:rFonts w:ascii="Arial" w:eastAsia="Times New Roman" w:hAnsi="Arial" w:cs="Arial"/>
          <w:color w:val="E6E8F0"/>
          <w:sz w:val="24"/>
          <w:szCs w:val="24"/>
          <w:lang w:val="es-ES"/>
        </w:rPr>
        <w:t>. </w:t>
      </w:r>
    </w:p>
    <w:p w:rsidR="001F3EF0" w:rsidRPr="001F3EF0" w:rsidRDefault="001F3EF0" w:rsidP="001F3EF0">
      <w:pPr>
        <w:shd w:val="clear" w:color="auto" w:fill="101218"/>
        <w:spacing w:after="0" w:line="420" w:lineRule="atLeast"/>
        <w:rPr>
          <w:rFonts w:ascii="Arial" w:eastAsia="Times New Roman" w:hAnsi="Arial" w:cs="Arial"/>
          <w:b/>
          <w:bCs/>
          <w:color w:val="E6E8F0"/>
          <w:sz w:val="30"/>
          <w:szCs w:val="30"/>
          <w:lang w:val="es-ES"/>
        </w:rPr>
      </w:pPr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s-ES"/>
        </w:rPr>
        <w:t>2. Leyes de Desarrollo y Ordenamiento Territorial</w:t>
      </w:r>
    </w:p>
    <w:p w:rsidR="001F3EF0" w:rsidRPr="001F3EF0" w:rsidRDefault="001F3EF0" w:rsidP="001F3EF0">
      <w:pPr>
        <w:numPr>
          <w:ilvl w:val="0"/>
          <w:numId w:val="2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hyperlink r:id="rId6" w:tgtFrame="_blank" w:history="1">
        <w:r w:rsidRPr="001F3EF0">
          <w:rPr>
            <w:rFonts w:ascii="Arial" w:eastAsia="Times New Roman" w:hAnsi="Arial" w:cs="Arial"/>
            <w:color w:val="99C3FF"/>
            <w:sz w:val="24"/>
            <w:szCs w:val="24"/>
            <w:u w:val="single"/>
            <w:lang w:val="es-ES"/>
          </w:rPr>
          <w:t>Ley 9 de 1989</w:t>
        </w:r>
      </w:hyperlink>
      <w:r w:rsidRPr="001F3EF0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 (Ley de Reforma Urbana):</w:t>
      </w:r>
      <w:r w:rsidRPr="001F3EF0">
        <w:rPr>
          <w:rFonts w:ascii="Arial" w:eastAsia="Times New Roman" w:hAnsi="Arial" w:cs="Arial"/>
          <w:color w:val="E6E8F0"/>
          <w:sz w:val="24"/>
          <w:szCs w:val="24"/>
          <w:lang w:val="es-ES"/>
        </w:rPr>
        <w:t> Define técnicamente el espacio público como el conjunto de inmuebles públicos y elementos naturales/arquitectónicos de inmuebles privados destinados a necesidades colectivas.</w:t>
      </w:r>
    </w:p>
    <w:p w:rsidR="001F3EF0" w:rsidRPr="001F3EF0" w:rsidRDefault="001F3EF0" w:rsidP="001F3EF0">
      <w:pPr>
        <w:numPr>
          <w:ilvl w:val="0"/>
          <w:numId w:val="2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hyperlink r:id="rId7" w:tgtFrame="_blank" w:history="1">
        <w:r w:rsidRPr="001F3EF0">
          <w:rPr>
            <w:rFonts w:ascii="Arial" w:eastAsia="Times New Roman" w:hAnsi="Arial" w:cs="Arial"/>
            <w:color w:val="99C3FF"/>
            <w:sz w:val="24"/>
            <w:szCs w:val="24"/>
            <w:u w:val="single"/>
            <w:lang w:val="es-ES"/>
          </w:rPr>
          <w:t>Ley 388 de 1997</w:t>
        </w:r>
      </w:hyperlink>
      <w:r w:rsidRPr="001F3EF0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 (Ley de Desarrollo Territorial):</w:t>
      </w:r>
      <w:r w:rsidRPr="001F3EF0">
        <w:rPr>
          <w:rFonts w:ascii="Arial" w:eastAsia="Times New Roman" w:hAnsi="Arial" w:cs="Arial"/>
          <w:color w:val="E6E8F0"/>
          <w:sz w:val="24"/>
          <w:szCs w:val="24"/>
          <w:lang w:val="es-ES"/>
        </w:rPr>
        <w:t> Integra el espacio público en los Planes de Ordenamiento Territorial (</w:t>
      </w:r>
      <w:r w:rsidRPr="001F3EF0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POT</w:t>
      </w:r>
      <w:r w:rsidRPr="001F3EF0">
        <w:rPr>
          <w:rFonts w:ascii="Arial" w:eastAsia="Times New Roman" w:hAnsi="Arial" w:cs="Arial"/>
          <w:color w:val="E6E8F0"/>
          <w:sz w:val="24"/>
          <w:szCs w:val="24"/>
          <w:lang w:val="es-ES"/>
        </w:rPr>
        <w:t>) y establece el principio de la función social y ecológica de la propiedad.</w:t>
      </w:r>
    </w:p>
    <w:p w:rsidR="001F3EF0" w:rsidRPr="001F3EF0" w:rsidRDefault="001F3EF0" w:rsidP="001F3EF0">
      <w:pPr>
        <w:numPr>
          <w:ilvl w:val="0"/>
          <w:numId w:val="2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1F3EF0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Ley 2476 de 2025 (Ley de Ciudades Verdes):</w:t>
      </w:r>
      <w:r w:rsidRPr="001F3EF0">
        <w:rPr>
          <w:rFonts w:ascii="Arial" w:eastAsia="Times New Roman" w:hAnsi="Arial" w:cs="Arial"/>
          <w:color w:val="E6E8F0"/>
          <w:sz w:val="24"/>
          <w:szCs w:val="24"/>
          <w:lang w:val="es-ES"/>
        </w:rPr>
        <w:t> Nueva normativa que busca fortalecer la gestión del espacio público bajo criterios de </w:t>
      </w:r>
      <w:r w:rsidRPr="001F3EF0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adaptación al cambio climático</w:t>
      </w:r>
      <w:r w:rsidRPr="001F3EF0">
        <w:rPr>
          <w:rFonts w:ascii="Arial" w:eastAsia="Times New Roman" w:hAnsi="Arial" w:cs="Arial"/>
          <w:color w:val="E6E8F0"/>
          <w:sz w:val="24"/>
          <w:szCs w:val="24"/>
          <w:lang w:val="es-ES"/>
        </w:rPr>
        <w:t> y resiliencia urbana. </w:t>
      </w:r>
    </w:p>
    <w:p w:rsidR="001F3EF0" w:rsidRPr="001F3EF0" w:rsidRDefault="001F3EF0" w:rsidP="001F3EF0">
      <w:pPr>
        <w:shd w:val="clear" w:color="auto" w:fill="101218"/>
        <w:spacing w:after="0" w:line="420" w:lineRule="atLeast"/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</w:pPr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3. </w:t>
      </w:r>
      <w:proofErr w:type="spellStart"/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Decretos</w:t>
      </w:r>
      <w:proofErr w:type="spellEnd"/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 </w:t>
      </w:r>
      <w:proofErr w:type="spellStart"/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Reglamentarios</w:t>
      </w:r>
      <w:proofErr w:type="spellEnd"/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 y </w:t>
      </w:r>
      <w:proofErr w:type="spellStart"/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Convivencia</w:t>
      </w:r>
      <w:proofErr w:type="spellEnd"/>
    </w:p>
    <w:p w:rsidR="001F3EF0" w:rsidRPr="001F3EF0" w:rsidRDefault="001F3EF0" w:rsidP="001F3EF0">
      <w:pPr>
        <w:numPr>
          <w:ilvl w:val="0"/>
          <w:numId w:val="3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hyperlink r:id="rId8" w:tgtFrame="_blank" w:history="1">
        <w:r w:rsidRPr="001F3EF0">
          <w:rPr>
            <w:rFonts w:ascii="Arial" w:eastAsia="Times New Roman" w:hAnsi="Arial" w:cs="Arial"/>
            <w:color w:val="99C3FF"/>
            <w:sz w:val="24"/>
            <w:szCs w:val="24"/>
            <w:u w:val="single"/>
            <w:lang w:val="es-ES"/>
          </w:rPr>
          <w:t>Decreto 1077 de 2015</w:t>
        </w:r>
      </w:hyperlink>
      <w:r w:rsidRPr="001F3EF0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:</w:t>
      </w:r>
      <w:r w:rsidRPr="001F3EF0">
        <w:rPr>
          <w:rFonts w:ascii="Arial" w:eastAsia="Times New Roman" w:hAnsi="Arial" w:cs="Arial"/>
          <w:color w:val="E6E8F0"/>
          <w:sz w:val="24"/>
          <w:szCs w:val="24"/>
          <w:lang w:val="es-ES"/>
        </w:rPr>
        <w:t> Decreto Único Reglamentario del Sector Vivienda, Ciudad y Territorio, que compila las normas sobre licencias de intervención y ocupación.</w:t>
      </w:r>
    </w:p>
    <w:p w:rsidR="001F3EF0" w:rsidRPr="001F3EF0" w:rsidRDefault="001F3EF0" w:rsidP="001F3EF0">
      <w:pPr>
        <w:numPr>
          <w:ilvl w:val="0"/>
          <w:numId w:val="3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hyperlink r:id="rId9" w:tgtFrame="_blank" w:history="1">
        <w:r w:rsidRPr="001F3EF0">
          <w:rPr>
            <w:rFonts w:ascii="Arial" w:eastAsia="Times New Roman" w:hAnsi="Arial" w:cs="Arial"/>
            <w:color w:val="99C3FF"/>
            <w:sz w:val="24"/>
            <w:szCs w:val="24"/>
            <w:u w:val="single"/>
            <w:lang w:val="es-ES"/>
          </w:rPr>
          <w:t>Ley 1801 de 2016 (Código Nacional de Convivencia)</w:t>
        </w:r>
      </w:hyperlink>
      <w:r w:rsidRPr="001F3EF0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:</w:t>
      </w:r>
      <w:r w:rsidRPr="001F3EF0">
        <w:rPr>
          <w:rFonts w:ascii="Arial" w:eastAsia="Times New Roman" w:hAnsi="Arial" w:cs="Arial"/>
          <w:color w:val="E6E8F0"/>
          <w:sz w:val="24"/>
          <w:szCs w:val="24"/>
          <w:lang w:val="es-ES"/>
        </w:rPr>
        <w:t> Regula los comportamientos que afectan el espacio público (como la ocupación indebida) e impone multas y medidas correctivas.</w:t>
      </w:r>
    </w:p>
    <w:p w:rsidR="001F3EF0" w:rsidRPr="001F3EF0" w:rsidRDefault="001F3EF0" w:rsidP="001F3EF0">
      <w:pPr>
        <w:numPr>
          <w:ilvl w:val="0"/>
          <w:numId w:val="3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hyperlink r:id="rId10" w:tgtFrame="_blank" w:history="1">
        <w:r w:rsidRPr="001F3EF0">
          <w:rPr>
            <w:rFonts w:ascii="Arial" w:eastAsia="Times New Roman" w:hAnsi="Arial" w:cs="Arial"/>
            <w:color w:val="99C3FF"/>
            <w:sz w:val="24"/>
            <w:szCs w:val="24"/>
            <w:u w:val="single"/>
            <w:lang w:val="es-ES"/>
          </w:rPr>
          <w:t>Decreto 072 de 2023</w:t>
        </w:r>
      </w:hyperlink>
      <w:r w:rsidRPr="001F3EF0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:</w:t>
      </w:r>
      <w:r w:rsidRPr="001F3EF0">
        <w:rPr>
          <w:rFonts w:ascii="Arial" w:eastAsia="Times New Roman" w:hAnsi="Arial" w:cs="Arial"/>
          <w:color w:val="E6E8F0"/>
          <w:sz w:val="24"/>
          <w:szCs w:val="24"/>
          <w:lang w:val="es-ES"/>
        </w:rPr>
        <w:t> Ejemplo de normativa local reciente (Bogotá) que armoniza normas nacionales sobre aprovechamiento económico y administración. </w:t>
      </w:r>
    </w:p>
    <w:p w:rsidR="001F3EF0" w:rsidRPr="001F3EF0" w:rsidRDefault="001F3EF0" w:rsidP="001F3EF0">
      <w:pPr>
        <w:shd w:val="clear" w:color="auto" w:fill="101218"/>
        <w:spacing w:after="0" w:line="420" w:lineRule="atLeast"/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</w:pPr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4. </w:t>
      </w:r>
      <w:proofErr w:type="spellStart"/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Normativa</w:t>
      </w:r>
      <w:proofErr w:type="spellEnd"/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 para </w:t>
      </w:r>
      <w:proofErr w:type="spellStart"/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Inclusión</w:t>
      </w:r>
      <w:proofErr w:type="spellEnd"/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 y </w:t>
      </w:r>
      <w:proofErr w:type="spellStart"/>
      <w:r w:rsidRPr="001F3EF0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Accesibilidad</w:t>
      </w:r>
      <w:proofErr w:type="spellEnd"/>
    </w:p>
    <w:p w:rsidR="001F3EF0" w:rsidRPr="001F3EF0" w:rsidRDefault="001F3EF0" w:rsidP="001F3EF0">
      <w:pPr>
        <w:numPr>
          <w:ilvl w:val="0"/>
          <w:numId w:val="4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hyperlink r:id="rId11" w:tgtFrame="_blank" w:history="1">
        <w:r w:rsidRPr="001F3EF0">
          <w:rPr>
            <w:rFonts w:ascii="Arial" w:eastAsia="Times New Roman" w:hAnsi="Arial" w:cs="Arial"/>
            <w:color w:val="99C3FF"/>
            <w:sz w:val="24"/>
            <w:szCs w:val="24"/>
            <w:u w:val="single"/>
            <w:lang w:val="es-ES"/>
          </w:rPr>
          <w:t>Ley 361 de 1997</w:t>
        </w:r>
      </w:hyperlink>
      <w:r w:rsidRPr="001F3EF0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:</w:t>
      </w:r>
      <w:r w:rsidRPr="001F3EF0">
        <w:rPr>
          <w:rFonts w:ascii="Arial" w:eastAsia="Times New Roman" w:hAnsi="Arial" w:cs="Arial"/>
          <w:color w:val="E6E8F0"/>
          <w:sz w:val="24"/>
          <w:szCs w:val="24"/>
          <w:lang w:val="es-ES"/>
        </w:rPr>
        <w:t> Exige la eliminación de barreras arquitectónicas en el espacio público para garantizar el acceso a personas con discapacidad. </w:t>
      </w:r>
    </w:p>
    <w:p w:rsidR="00306F40" w:rsidRDefault="00306F40">
      <w:pPr>
        <w:rPr>
          <w:lang w:val="es-ES"/>
        </w:rPr>
      </w:pPr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>1. El Instrumento Matriz: El POT de Armenia </w:t>
      </w:r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El </w:t>
      </w:r>
      <w:r w:rsidRPr="001F3EF0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Plan de Ordenamiento Territorial (POT)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es la "constitución" urbana de la ciudad. Actualmente, Armenia se rige bajo un modelo que busca consolidar el espacio público como eje de integración. </w:t>
      </w:r>
    </w:p>
    <w:p w:rsidR="001F3EF0" w:rsidRPr="001F3EF0" w:rsidRDefault="001F3EF0" w:rsidP="001F3EF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lastRenderedPageBreak/>
        <w:t>Acuerdo 019 de 2009: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Es el Plan de Ordenamiento Territorial vigente. Define la estructura ecológica principal y el sistema de espacio público (parques, plazas y zonas verdes).</w:t>
      </w:r>
    </w:p>
    <w:p w:rsidR="001F3EF0" w:rsidRPr="001F3EF0" w:rsidRDefault="001F3EF0" w:rsidP="001F3EF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Revisión y Ajuste: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Es importante notar que Armenia ha estado en procesos de actualización de su POT para ajustarse a las realidades de densidad poblacional y cambio climático. </w:t>
      </w:r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>2. Normativa Específica de Gestión y Convivencia </w:t>
      </w:r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La administración municipal ha emitido decretos específicos para regular el uso diario de las calles, especialmente en el </w:t>
      </w:r>
      <w:r w:rsidRPr="001F3EF0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Centro de la ciudad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>: </w:t>
      </w:r>
    </w:p>
    <w:p w:rsidR="001F3EF0" w:rsidRPr="001F3EF0" w:rsidRDefault="001F3EF0" w:rsidP="001F3EF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Decreto 108 de 2011 (Manual de Aprovechamiento Económico):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Regula cómo y bajo qué condiciones se pueden realizar actividades lucrativas en el espacio público (eventos, quioscos, mobiliario urbano).</w:t>
      </w:r>
    </w:p>
    <w:p w:rsidR="001F3EF0" w:rsidRPr="001F3EF0" w:rsidRDefault="001F3EF0" w:rsidP="001F3EF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Decreto 144 de 2023 (Control de Ventas Informales):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Armenia tiene una problemática histórica con el comercio informal. Este decreto y sus actualizaciones buscan restringir la ocupación de andenes en el "Cuadrante de Seguridad" (principalmente entre las carreras 13 a 19 y las calles 12 a 21).</w:t>
      </w:r>
    </w:p>
    <w:p w:rsidR="001F3EF0" w:rsidRPr="001F3EF0" w:rsidRDefault="001F3EF0" w:rsidP="001F3EF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Decreto 252 de 2021: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Establece lineamientos para la recuperación, mantenimiento y sostenibilidad de las zonas verdes y parques bajo la figura de </w:t>
      </w:r>
      <w:r w:rsidRPr="001F3EF0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"Convenios de Adopción"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con entidades privadas. </w:t>
      </w:r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>3. Entidades Clave en Armenia </w:t>
      </w:r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>A diferencia de ciudades más grandes que tienen defensorías exclusivas, en Armenia la gestión es compartida: </w:t>
      </w:r>
    </w:p>
    <w:p w:rsidR="001F3EF0" w:rsidRPr="001F3EF0" w:rsidRDefault="001F3EF0" w:rsidP="001F3EF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Secretaría de Gobierno y Convivencia: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Encargada del control físico y la recuperación del espacio ocupado indebidamente.</w:t>
      </w:r>
    </w:p>
    <w:p w:rsidR="001F3EF0" w:rsidRPr="001F3EF0" w:rsidRDefault="001F3EF0" w:rsidP="001F3EF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Departamento Administrativo de Planeación: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Define qué es y qué no es espacio público según la cartografía oficial.</w:t>
      </w:r>
    </w:p>
    <w:p w:rsidR="001F3EF0" w:rsidRPr="001F3EF0" w:rsidRDefault="001F3EF0" w:rsidP="001F3EF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EPA (Empresas Públicas de Armenia):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Responsable de la limpieza y mantenimiento de las redes que atraviesan el espacio público. </w:t>
      </w:r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>4. Factores Críticos Locales </w:t>
      </w:r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b/>
          <w:bCs/>
          <w:sz w:val="24"/>
          <w:szCs w:val="24"/>
          <w:lang w:val="es-ES"/>
        </w:rPr>
        <w:t>Dato Clave: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 Armenia tiene un déficit histórico de metros cuadrados de espacio público efectivo por habitante frente a los estándares nacionales (15 </w:t>
      </w:r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3EF0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Rectángulo 1" descr="data:image/gif;base64,R0lGODlhAQABAIAAAP///wAAACH5BAEAAAAALAAAAAABAAEAAAICRAEAOw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2F660E" id="Rectángulo 1" o:spid="_x0000_s1026" alt="data:image/gif;base64,R0lGODlhAQABAIAAAP///wAAACH5BAEAAAAALAAAAAABAAEAAAICRAEAOw==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DMPmaY&#10;+gIAABQGAAAOAAAAAAAAAAAAAAAAAC4CAABkcnMvZTJvRG9jLnhtbFBLAQItABQABgAIAAAAIQBM&#10;oOks2AAAAAMBAAAPAAAAAAAAAAAAAAAAAFQ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 xml:space="preserve">m2m </w:t>
      </w:r>
      <w:proofErr w:type="spellStart"/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>squared</w:t>
      </w:r>
      <w:proofErr w:type="spellEnd"/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Cambria Math" w:eastAsia="Times New Roman" w:hAnsi="Cambria Math" w:cs="Cambria Math"/>
          <w:sz w:val="24"/>
          <w:szCs w:val="24"/>
          <w:lang w:val="en-US"/>
        </w:rPr>
        <w:t>𝑚</w:t>
      </w: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>2</w:t>
      </w:r>
    </w:p>
    <w:p w:rsidR="001F3EF0" w:rsidRPr="001F3EF0" w:rsidRDefault="001F3EF0" w:rsidP="001F3EF0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>por habitante). Por ello, la normativa local prioriza la creación de "parques de bolsillo" y la peatonalización de tramos de la Carrera 14 (Cielos Abiertos). </w:t>
      </w:r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3EF0">
        <w:rPr>
          <w:rFonts w:ascii="Times New Roman" w:eastAsia="Times New Roman" w:hAnsi="Times New Roman" w:cs="Times New Roman"/>
          <w:sz w:val="24"/>
          <w:szCs w:val="24"/>
          <w:lang w:val="en-US"/>
        </w:rPr>
        <w:pict>
          <v:rect id="_x0000_i1026" style="width:0;height:1.5pt" o:hralign="center" o:hrstd="t" o:hr="t" fillcolor="#a0a0a0" stroked="f"/>
        </w:pict>
      </w:r>
    </w:p>
    <w:p w:rsidR="001F3EF0" w:rsidRPr="001F3EF0" w:rsidRDefault="001F3EF0" w:rsidP="001F3E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/>
        </w:rPr>
      </w:pPr>
      <w:r w:rsidRPr="001F3EF0">
        <w:rPr>
          <w:rFonts w:ascii="Times New Roman" w:eastAsia="Times New Roman" w:hAnsi="Times New Roman" w:cs="Times New Roman"/>
          <w:sz w:val="24"/>
          <w:szCs w:val="24"/>
          <w:lang w:val="es-ES"/>
        </w:rPr>
        <w:t>Tabla de Resumen: Retos Normativos en Armenia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6"/>
        <w:gridCol w:w="3483"/>
        <w:gridCol w:w="4041"/>
      </w:tblGrid>
      <w:tr w:rsidR="001F3EF0" w:rsidRPr="001F3EF0" w:rsidTr="001F3E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3EF0" w:rsidRPr="001F3EF0" w:rsidRDefault="001F3EF0" w:rsidP="001F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Área</w:t>
            </w:r>
            <w:proofErr w:type="spellEnd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F3EF0" w:rsidRPr="001F3EF0" w:rsidRDefault="001F3EF0" w:rsidP="001F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Normatividad</w:t>
            </w:r>
            <w:proofErr w:type="spellEnd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/ </w:t>
            </w:r>
            <w:proofErr w:type="spellStart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Acción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3EF0" w:rsidRPr="001F3EF0" w:rsidRDefault="001F3EF0" w:rsidP="001F3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Impacto</w:t>
            </w:r>
            <w:proofErr w:type="spellEnd"/>
          </w:p>
        </w:tc>
      </w:tr>
      <w:tr w:rsidR="001F3EF0" w:rsidRPr="001F3EF0" w:rsidTr="001F3E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3EF0" w:rsidRPr="001F3EF0" w:rsidRDefault="001F3EF0" w:rsidP="001F3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Comercio</w:t>
            </w:r>
            <w:proofErr w:type="spellEnd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Informal</w:t>
            </w:r>
          </w:p>
        </w:tc>
        <w:tc>
          <w:tcPr>
            <w:tcW w:w="0" w:type="auto"/>
            <w:vAlign w:val="center"/>
            <w:hideMark/>
          </w:tcPr>
          <w:p w:rsidR="001F3EF0" w:rsidRPr="001F3EF0" w:rsidRDefault="001F3EF0" w:rsidP="001F3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F3E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Ley 1801 + </w:t>
            </w:r>
            <w:proofErr w:type="spellStart"/>
            <w:r w:rsidRPr="001F3E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Decretos</w:t>
            </w:r>
            <w:proofErr w:type="spellEnd"/>
            <w:r w:rsidRPr="001F3E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3E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Alcaldía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3EF0" w:rsidRPr="001F3EF0" w:rsidRDefault="001F3EF0" w:rsidP="001F3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1F3EF0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Recuperación de andenes en el centro.</w:t>
            </w:r>
          </w:p>
        </w:tc>
      </w:tr>
      <w:tr w:rsidR="001F3EF0" w:rsidRPr="001F3EF0" w:rsidTr="001F3E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3EF0" w:rsidRPr="001F3EF0" w:rsidRDefault="001F3EF0" w:rsidP="001F3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Publicidad</w:t>
            </w:r>
            <w:proofErr w:type="spellEnd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Exterior</w:t>
            </w:r>
          </w:p>
        </w:tc>
        <w:tc>
          <w:tcPr>
            <w:tcW w:w="0" w:type="auto"/>
            <w:vAlign w:val="center"/>
            <w:hideMark/>
          </w:tcPr>
          <w:p w:rsidR="001F3EF0" w:rsidRPr="001F3EF0" w:rsidRDefault="001F3EF0" w:rsidP="001F3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F3E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Acuerdo</w:t>
            </w:r>
            <w:proofErr w:type="spellEnd"/>
            <w:r w:rsidRPr="001F3E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Municipal 022 de 2014</w:t>
            </w:r>
          </w:p>
        </w:tc>
        <w:tc>
          <w:tcPr>
            <w:tcW w:w="0" w:type="auto"/>
            <w:vAlign w:val="center"/>
            <w:hideMark/>
          </w:tcPr>
          <w:p w:rsidR="001F3EF0" w:rsidRPr="001F3EF0" w:rsidRDefault="001F3EF0" w:rsidP="001F3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1F3EF0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Regula vallas, avisos y pendones en espacio público.</w:t>
            </w:r>
          </w:p>
        </w:tc>
      </w:tr>
      <w:tr w:rsidR="001F3EF0" w:rsidRPr="001F3EF0" w:rsidTr="001F3EF0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3EF0" w:rsidRPr="001F3EF0" w:rsidRDefault="001F3EF0" w:rsidP="001F3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Parqueo</w:t>
            </w:r>
            <w:proofErr w:type="spellEnd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en</w:t>
            </w:r>
            <w:proofErr w:type="spellEnd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F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Vía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1F3EF0" w:rsidRPr="001F3EF0" w:rsidRDefault="001F3EF0" w:rsidP="001F3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1F3EF0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Zonas de Estacionamiento Regulado (ZER)</w:t>
            </w:r>
          </w:p>
        </w:tc>
        <w:tc>
          <w:tcPr>
            <w:tcW w:w="0" w:type="auto"/>
            <w:vAlign w:val="center"/>
            <w:hideMark/>
          </w:tcPr>
          <w:p w:rsidR="001F3EF0" w:rsidRPr="001F3EF0" w:rsidRDefault="001F3EF0" w:rsidP="001F3E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 w:rsidRPr="001F3EF0"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Intentos de formalizar el parqueo para liberar vías.</w:t>
            </w:r>
          </w:p>
        </w:tc>
      </w:tr>
    </w:tbl>
    <w:p w:rsidR="001F3EF0" w:rsidRDefault="001F3EF0">
      <w:pPr>
        <w:rPr>
          <w:lang w:val="es-ES"/>
        </w:rPr>
      </w:pPr>
    </w:p>
    <w:p w:rsidR="00C83B12" w:rsidRPr="00C83B12" w:rsidRDefault="00C83B12" w:rsidP="00C83B12">
      <w:pPr>
        <w:shd w:val="clear" w:color="auto" w:fill="101218"/>
        <w:spacing w:after="0" w:line="360" w:lineRule="atLeast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El </w:t>
      </w:r>
      <w:r w:rsidRPr="00C83B1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Plan de Ordenamiento Territorial (POT) de Armenia</w:t>
      </w: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 (Acuerdo 019 de 2009) concibe el espacio público como el elemento articulador de la ciudad, otorgándole un papel de "escenario principal de la integración social" y eje del equilibrio ambiental. </w:t>
      </w:r>
    </w:p>
    <w:p w:rsidR="00C83B12" w:rsidRPr="00C83B12" w:rsidRDefault="00C83B12" w:rsidP="00C83B12">
      <w:pPr>
        <w:shd w:val="clear" w:color="auto" w:fill="101218"/>
        <w:spacing w:after="0" w:line="360" w:lineRule="atLeast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Sus prioridades fundamentales se agrupan en cuatro ejes estratégicos:</w:t>
      </w:r>
    </w:p>
    <w:p w:rsidR="00C83B12" w:rsidRPr="00C83B12" w:rsidRDefault="00C83B12" w:rsidP="00C83B12">
      <w:pPr>
        <w:shd w:val="clear" w:color="auto" w:fill="101218"/>
        <w:spacing w:after="0" w:line="420" w:lineRule="atLeast"/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</w:pPr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1. </w:t>
      </w:r>
      <w:proofErr w:type="spellStart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Conectividad</w:t>
      </w:r>
      <w:proofErr w:type="spellEnd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 y </w:t>
      </w:r>
      <w:proofErr w:type="spellStart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Articulación</w:t>
      </w:r>
      <w:proofErr w:type="spellEnd"/>
    </w:p>
    <w:p w:rsidR="00C83B12" w:rsidRPr="00C83B12" w:rsidRDefault="00C83B12" w:rsidP="00C83B12">
      <w:pPr>
        <w:numPr>
          <w:ilvl w:val="0"/>
          <w:numId w:val="8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C83B1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Articulación intermunicipal:</w:t>
      </w: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 El POT proyecta el espacio público no solo para el disfrute interno, sino como un conector con los municipios vecinos y la región.</w:t>
      </w:r>
    </w:p>
    <w:p w:rsidR="00C83B12" w:rsidRPr="00C83B12" w:rsidRDefault="00C83B12" w:rsidP="00C83B12">
      <w:pPr>
        <w:numPr>
          <w:ilvl w:val="0"/>
          <w:numId w:val="8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C83B1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Sistemas de movilidad:</w:t>
      </w: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 Prioriza la integración del espacio público con los sistemas de tránsito y transporte, buscando que plazas y andenes faciliten la movilidad peatonal. </w:t>
      </w:r>
    </w:p>
    <w:p w:rsidR="00C83B12" w:rsidRPr="00C83B12" w:rsidRDefault="00C83B12" w:rsidP="00C83B12">
      <w:pPr>
        <w:shd w:val="clear" w:color="auto" w:fill="101218"/>
        <w:spacing w:after="0" w:line="420" w:lineRule="atLeast"/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</w:pPr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2. </w:t>
      </w:r>
      <w:proofErr w:type="spellStart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Aumento</w:t>
      </w:r>
      <w:proofErr w:type="spellEnd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 del </w:t>
      </w:r>
      <w:proofErr w:type="spellStart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Espacio</w:t>
      </w:r>
      <w:proofErr w:type="spellEnd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 </w:t>
      </w:r>
      <w:proofErr w:type="spellStart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Público</w:t>
      </w:r>
      <w:proofErr w:type="spellEnd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 </w:t>
      </w:r>
      <w:proofErr w:type="spellStart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Efectivo</w:t>
      </w:r>
      <w:proofErr w:type="spellEnd"/>
    </w:p>
    <w:p w:rsidR="00C83B12" w:rsidRPr="00C83B12" w:rsidRDefault="00C83B12" w:rsidP="00C83B12">
      <w:pPr>
        <w:numPr>
          <w:ilvl w:val="0"/>
          <w:numId w:val="9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n-US"/>
        </w:rPr>
      </w:pPr>
      <w:r w:rsidRPr="00C83B1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Déficit Habitante/Espacio:</w:t>
      </w: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 xml:space="preserve"> Armenia tiene como meta prioritaria ampliar significativamente el área pública por habitante. </w:t>
      </w:r>
      <w:proofErr w:type="spellStart"/>
      <w:r w:rsidRPr="00C83B12">
        <w:rPr>
          <w:rFonts w:ascii="Arial" w:eastAsia="Times New Roman" w:hAnsi="Arial" w:cs="Arial"/>
          <w:color w:val="E6E8F0"/>
          <w:sz w:val="24"/>
          <w:szCs w:val="24"/>
          <w:lang w:val="en-US"/>
        </w:rPr>
        <w:t>Esto</w:t>
      </w:r>
      <w:proofErr w:type="spellEnd"/>
      <w:r w:rsidRPr="00C83B12">
        <w:rPr>
          <w:rFonts w:ascii="Arial" w:eastAsia="Times New Roman" w:hAnsi="Arial" w:cs="Arial"/>
          <w:color w:val="E6E8F0"/>
          <w:sz w:val="24"/>
          <w:szCs w:val="24"/>
          <w:lang w:val="en-US"/>
        </w:rPr>
        <w:t xml:space="preserve"> se </w:t>
      </w:r>
      <w:proofErr w:type="spellStart"/>
      <w:r w:rsidRPr="00C83B12">
        <w:rPr>
          <w:rFonts w:ascii="Arial" w:eastAsia="Times New Roman" w:hAnsi="Arial" w:cs="Arial"/>
          <w:color w:val="E6E8F0"/>
          <w:sz w:val="24"/>
          <w:szCs w:val="24"/>
          <w:lang w:val="en-US"/>
        </w:rPr>
        <w:t>busca</w:t>
      </w:r>
      <w:proofErr w:type="spellEnd"/>
      <w:r w:rsidRPr="00C83B12">
        <w:rPr>
          <w:rFonts w:ascii="Arial" w:eastAsia="Times New Roman" w:hAnsi="Arial" w:cs="Arial"/>
          <w:color w:val="E6E8F0"/>
          <w:sz w:val="24"/>
          <w:szCs w:val="24"/>
          <w:lang w:val="en-US"/>
        </w:rPr>
        <w:t xml:space="preserve"> </w:t>
      </w:r>
      <w:proofErr w:type="spellStart"/>
      <w:r w:rsidRPr="00C83B12">
        <w:rPr>
          <w:rFonts w:ascii="Arial" w:eastAsia="Times New Roman" w:hAnsi="Arial" w:cs="Arial"/>
          <w:color w:val="E6E8F0"/>
          <w:sz w:val="24"/>
          <w:szCs w:val="24"/>
          <w:lang w:val="en-US"/>
        </w:rPr>
        <w:t>mediante</w:t>
      </w:r>
      <w:proofErr w:type="spellEnd"/>
      <w:r w:rsidRPr="00C83B12">
        <w:rPr>
          <w:rFonts w:ascii="Arial" w:eastAsia="Times New Roman" w:hAnsi="Arial" w:cs="Arial"/>
          <w:color w:val="E6E8F0"/>
          <w:sz w:val="24"/>
          <w:szCs w:val="24"/>
          <w:lang w:val="en-US"/>
        </w:rPr>
        <w:t>:</w:t>
      </w:r>
    </w:p>
    <w:p w:rsidR="00C83B12" w:rsidRPr="00C83B12" w:rsidRDefault="00C83B12" w:rsidP="00C83B12">
      <w:pPr>
        <w:numPr>
          <w:ilvl w:val="1"/>
          <w:numId w:val="9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C83B1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Zonas de Cesión:</w:t>
      </w: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 Exigencias estrictas a nuevos desarrollos urbanísticos para entregar áreas destinadas a parques y equipamientos.</w:t>
      </w:r>
    </w:p>
    <w:p w:rsidR="00C83B12" w:rsidRPr="00C83B12" w:rsidRDefault="00C83B12" w:rsidP="00C83B12">
      <w:pPr>
        <w:numPr>
          <w:ilvl w:val="1"/>
          <w:numId w:val="9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C83B1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Parques de Borde:</w:t>
      </w: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 Recuperación de las zonas que limitan con las quebradas para convertirlas en espacios de recreación pasiva. </w:t>
      </w:r>
    </w:p>
    <w:p w:rsidR="00C83B12" w:rsidRPr="00C83B12" w:rsidRDefault="00C83B12" w:rsidP="00C83B12">
      <w:pPr>
        <w:shd w:val="clear" w:color="auto" w:fill="101218"/>
        <w:spacing w:after="0" w:line="420" w:lineRule="atLeast"/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</w:pPr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3. </w:t>
      </w:r>
      <w:proofErr w:type="spellStart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Función</w:t>
      </w:r>
      <w:proofErr w:type="spellEnd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 </w:t>
      </w:r>
      <w:proofErr w:type="spellStart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Ambiental</w:t>
      </w:r>
      <w:proofErr w:type="spellEnd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 y </w:t>
      </w:r>
      <w:proofErr w:type="spellStart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Protección</w:t>
      </w:r>
      <w:proofErr w:type="spellEnd"/>
    </w:p>
    <w:p w:rsidR="00C83B12" w:rsidRPr="00C83B12" w:rsidRDefault="00C83B12" w:rsidP="00C83B12">
      <w:pPr>
        <w:numPr>
          <w:ilvl w:val="0"/>
          <w:numId w:val="10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C83B1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Estructura Ecológica Principal:</w:t>
      </w: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 Prioriza el "Suelo de Protección" como </w:t>
      </w:r>
      <w:r w:rsidRPr="00C83B1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Espacio Público Ambiental</w:t>
      </w: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. Esto incluye la protección de humedales, relictos boscosos y zonas de recarga hídrica para mitigar riesgos de inundación y deslizamientos.</w:t>
      </w:r>
    </w:p>
    <w:p w:rsidR="00C83B12" w:rsidRPr="00C83B12" w:rsidRDefault="00C83B12" w:rsidP="00C83B12">
      <w:pPr>
        <w:numPr>
          <w:ilvl w:val="0"/>
          <w:numId w:val="10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C83B1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Ciudad Paisaje:</w:t>
      </w: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 Busca conservar la identidad visual de Armenia, prohibiendo intervenciones que afecten la topografía natural que da carácter a la ciudad. </w:t>
      </w:r>
    </w:p>
    <w:p w:rsidR="00C83B12" w:rsidRPr="00C83B12" w:rsidRDefault="00C83B12" w:rsidP="00C83B12">
      <w:pPr>
        <w:shd w:val="clear" w:color="auto" w:fill="101218"/>
        <w:spacing w:after="0" w:line="420" w:lineRule="atLeast"/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</w:pPr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4. </w:t>
      </w:r>
      <w:proofErr w:type="spellStart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Inclusión</w:t>
      </w:r>
      <w:proofErr w:type="spellEnd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 xml:space="preserve"> y </w:t>
      </w:r>
      <w:proofErr w:type="spellStart"/>
      <w:r w:rsidRPr="00C83B12">
        <w:rPr>
          <w:rFonts w:ascii="Arial" w:eastAsia="Times New Roman" w:hAnsi="Arial" w:cs="Arial"/>
          <w:b/>
          <w:bCs/>
          <w:color w:val="E6E8F0"/>
          <w:sz w:val="30"/>
          <w:szCs w:val="30"/>
          <w:lang w:val="en-US"/>
        </w:rPr>
        <w:t>Convivencia</w:t>
      </w:r>
      <w:proofErr w:type="spellEnd"/>
    </w:p>
    <w:p w:rsidR="00C83B12" w:rsidRPr="00C83B12" w:rsidRDefault="00C83B12" w:rsidP="00C83B12">
      <w:pPr>
        <w:numPr>
          <w:ilvl w:val="0"/>
          <w:numId w:val="11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C83B1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Accesibilidad Universal:</w:t>
      </w: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 Establece la eliminación de barreras físicas para garantizar el acceso sin discriminación a todos los grupos poblacionales.</w:t>
      </w:r>
    </w:p>
    <w:p w:rsidR="00C83B12" w:rsidRPr="00C83B12" w:rsidRDefault="00C83B12" w:rsidP="00C83B12">
      <w:pPr>
        <w:numPr>
          <w:ilvl w:val="0"/>
          <w:numId w:val="11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C83B1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lastRenderedPageBreak/>
        <w:t>Aprovechamiento Económico Regulado:</w:t>
      </w: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 Define que cualquier uso comercial del espacio público debe estar supeditado a un </w:t>
      </w:r>
      <w:r w:rsidRPr="00C83B1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Plan de Manejo</w:t>
      </w:r>
      <w:r w:rsidRPr="00C83B12">
        <w:rPr>
          <w:rFonts w:ascii="Arial" w:eastAsia="Times New Roman" w:hAnsi="Arial" w:cs="Arial"/>
          <w:color w:val="E6E8F0"/>
          <w:sz w:val="24"/>
          <w:szCs w:val="24"/>
          <w:lang w:val="es-ES"/>
        </w:rPr>
        <w:t> que garantice que la actividad privada no anule el derecho colectivo al uso común. </w:t>
      </w:r>
    </w:p>
    <w:p w:rsidR="00C83B12" w:rsidRDefault="00C83B12">
      <w:pPr>
        <w:rPr>
          <w:lang w:val="es-ES"/>
        </w:rPr>
      </w:pPr>
    </w:p>
    <w:p w:rsidR="007C60F2" w:rsidRPr="007C60F2" w:rsidRDefault="007C60F2" w:rsidP="007C60F2">
      <w:pPr>
        <w:shd w:val="clear" w:color="auto" w:fill="101218"/>
        <w:spacing w:after="0" w:line="360" w:lineRule="atLeast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El Plan de Desarrollo Municipal (</w:t>
      </w: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PDM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) "Armenia con Más Oportunidades 2024-2027" aborda el espacio público principalmente desde las líneas estratégicas </w:t>
      </w: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"Armenia Moderna"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y "Armenia Territorio Social", enfocándose en la recuperación, la seguridad, la sostenibilidad ambiental y la movilidad (pp. 8, 19-20).</w:t>
      </w:r>
    </w:p>
    <w:p w:rsidR="007C60F2" w:rsidRPr="007C60F2" w:rsidRDefault="007C60F2" w:rsidP="007C60F2">
      <w:pPr>
        <w:shd w:val="clear" w:color="auto" w:fill="101218"/>
        <w:spacing w:after="0" w:line="360" w:lineRule="atLeast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Los puntos clave que el documento establece sobre el espacio público son:</w:t>
      </w:r>
    </w:p>
    <w:p w:rsidR="007C60F2" w:rsidRPr="007C60F2" w:rsidRDefault="007C60F2" w:rsidP="007C60F2">
      <w:pPr>
        <w:numPr>
          <w:ilvl w:val="0"/>
          <w:numId w:val="12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Ordenamiento Territorial: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El PDM se alinea con la Ley 388 de 1997 (Ley de Desarrollo Territorial), que faculta al municipio para promover el ordenamiento del territorio y el uso equitativo y racional del suelo (pp. 22, 24). El Plan reconoce la necesidad de levantar y actualizar el </w:t>
      </w: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Catastro Multipropósito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como una línea de inversión clave, lo cual es fundamental para delimitar y gestionar eficazmente el espacio público (p. 39).</w:t>
      </w:r>
    </w:p>
    <w:p w:rsidR="007C60F2" w:rsidRPr="007C60F2" w:rsidRDefault="007C60F2" w:rsidP="007C60F2">
      <w:pPr>
        <w:numPr>
          <w:ilvl w:val="0"/>
          <w:numId w:val="12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Gestión y Protección: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El documento menciona la importancia de la "protección y organización de lo público" como parte de su misión. La administración municipal ha emitido decretos específicos para regular comportamientos y usos, como el Decreto 218 de 2024 que prohíbe el consumo de sustancias psicoactivas en parques y escenarios deportivos, reforzando el Código Nacional de Policía y Convivencia (Ley 1801 de 2016) (p. 30).</w:t>
      </w:r>
    </w:p>
    <w:p w:rsidR="007C60F2" w:rsidRPr="007C60F2" w:rsidRDefault="007C60F2" w:rsidP="007C60F2">
      <w:pPr>
        <w:numPr>
          <w:ilvl w:val="0"/>
          <w:numId w:val="12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Infraestructura y Movilidad: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En la línea "Armenia Moderna", la generación de vías y la infraestructura para descongestión son prioritarias (p. 20). El plan contempla proyectos específicos de gran escala que impactan el espacio público y la movilidad, como un potencial sistema de </w:t>
      </w: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cable aéreo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y transporte público (pp. 9, 40).</w:t>
      </w:r>
    </w:p>
    <w:p w:rsidR="007C60F2" w:rsidRPr="007C60F2" w:rsidRDefault="007C60F2" w:rsidP="007C60F2">
      <w:pPr>
        <w:numPr>
          <w:ilvl w:val="0"/>
          <w:numId w:val="12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Recuperación y Mantenimiento: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El plan identifica la "indebida ocupación del espacio público" como una problemática que obstruye las vías peatonales y afecta a los ciudadanos.</w:t>
      </w:r>
    </w:p>
    <w:p w:rsidR="007C60F2" w:rsidRPr="007C60F2" w:rsidRDefault="007C60F2" w:rsidP="007C60F2">
      <w:pPr>
        <w:numPr>
          <w:ilvl w:val="0"/>
          <w:numId w:val="12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Proyectos Estratégicos: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Se mencionan proyectos que tendrán un impacto directo en el espacio público, tales como:</w:t>
      </w:r>
    </w:p>
    <w:p w:rsidR="007C60F2" w:rsidRPr="007C60F2" w:rsidRDefault="007C60F2" w:rsidP="007C60F2">
      <w:pPr>
        <w:numPr>
          <w:ilvl w:val="1"/>
          <w:numId w:val="12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Mantenimiento y fortalecimiento de la infraestructura deportiva urbana y rural (p. 40).</w:t>
      </w:r>
    </w:p>
    <w:p w:rsidR="007C60F2" w:rsidRPr="007C60F2" w:rsidRDefault="007C60F2" w:rsidP="007C60F2">
      <w:pPr>
        <w:numPr>
          <w:ilvl w:val="1"/>
          <w:numId w:val="12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Un proyecto cultural y turístico de la </w:t>
      </w: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Estación del Ferrocarril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de Armenia (p. 40). </w:t>
      </w:r>
    </w:p>
    <w:p w:rsidR="007C60F2" w:rsidRPr="007C60F2" w:rsidRDefault="007C60F2" w:rsidP="007C60F2">
      <w:pPr>
        <w:shd w:val="clear" w:color="auto" w:fill="101218"/>
        <w:spacing w:after="0" w:line="360" w:lineRule="atLeast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lastRenderedPageBreak/>
        <w:t>el Plan Plurianual de Inversiones (</w:t>
      </w: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PPI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) anexa al Plan de Desarrollo Municipal detalla los recursos financieros para programas específicos relacionados con infraestructura y zonas verdes. </w:t>
      </w:r>
    </w:p>
    <w:p w:rsidR="007C60F2" w:rsidRPr="007C60F2" w:rsidRDefault="007C60F2" w:rsidP="007C60F2">
      <w:pPr>
        <w:shd w:val="clear" w:color="auto" w:fill="101218"/>
        <w:spacing w:after="0" w:line="360" w:lineRule="atLeast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Estos son los proyectos e inversiones clave identificados en el documento y la información pública relacionada:</w:t>
      </w:r>
    </w:p>
    <w:p w:rsidR="007C60F2" w:rsidRPr="007C60F2" w:rsidRDefault="007C60F2" w:rsidP="007C60F2">
      <w:pPr>
        <w:shd w:val="clear" w:color="auto" w:fill="101218"/>
        <w:spacing w:after="0" w:line="360" w:lineRule="atLeast"/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Inversiones y Proyectos de Infraestructura</w:t>
      </w:r>
    </w:p>
    <w:p w:rsidR="007C60F2" w:rsidRPr="007C60F2" w:rsidRDefault="007C60F2" w:rsidP="007C60F2">
      <w:pPr>
        <w:shd w:val="clear" w:color="auto" w:fill="101218"/>
        <w:spacing w:after="0" w:line="360" w:lineRule="atLeast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El plan cuenta con un presupuesto total de aproximadamente </w:t>
      </w: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$2.7 billones de pesos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para el cuatrienio. Las inversiones en infraestructura buscan mejorar significativamente la movilidad y la calidad de vida: </w:t>
      </w:r>
    </w:p>
    <w:p w:rsidR="007C60F2" w:rsidRPr="007C60F2" w:rsidRDefault="007C60F2" w:rsidP="007C60F2">
      <w:pPr>
        <w:numPr>
          <w:ilvl w:val="0"/>
          <w:numId w:val="13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Ordenador Vial de la Calle 2da Norte: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Una obra crucial para mejorar la movilidad y descongestionar el tráfico en un punto neurálgico de la ciudad.</w:t>
      </w:r>
    </w:p>
    <w:p w:rsidR="007C60F2" w:rsidRPr="007C60F2" w:rsidRDefault="007C60F2" w:rsidP="007C60F2">
      <w:pPr>
        <w:numPr>
          <w:ilvl w:val="0"/>
          <w:numId w:val="13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Conexiones Viales Estratégicas: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Se contempla la conexión de Aborígenes con la Carrera 19 y la Avenida Chilacoa, facilitando el tránsito de más de 87,000 vehículos.</w:t>
      </w:r>
    </w:p>
    <w:p w:rsidR="007C60F2" w:rsidRPr="007C60F2" w:rsidRDefault="007C60F2" w:rsidP="007C60F2">
      <w:pPr>
        <w:numPr>
          <w:ilvl w:val="0"/>
          <w:numId w:val="13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Rehabilitación Vial: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Un plan de intervención en la malla vial de 20 kilómetros para mejorar el estado de las calles de la ciudad.</w:t>
      </w:r>
    </w:p>
    <w:p w:rsidR="007C60F2" w:rsidRPr="007C60F2" w:rsidRDefault="007C60F2" w:rsidP="007C60F2">
      <w:pPr>
        <w:numPr>
          <w:ilvl w:val="0"/>
          <w:numId w:val="13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Sistema de Cable Aéreo: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El documento menciona el proyecto de un sistema de cable aéreo y transporte público como una iniciativa clave de "Convergencia regional" para transformar la movilidad (p. 40). </w:t>
      </w:r>
    </w:p>
    <w:p w:rsidR="007C60F2" w:rsidRPr="007C60F2" w:rsidRDefault="007C60F2" w:rsidP="007C60F2">
      <w:pPr>
        <w:shd w:val="clear" w:color="auto" w:fill="101218"/>
        <w:spacing w:after="0" w:line="360" w:lineRule="atLeast"/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Planes para Zonas Verdes y Espacio Público Ambiental</w:t>
      </w:r>
    </w:p>
    <w:p w:rsidR="007C60F2" w:rsidRPr="007C60F2" w:rsidRDefault="007C60F2" w:rsidP="007C60F2">
      <w:pPr>
        <w:shd w:val="clear" w:color="auto" w:fill="101218"/>
        <w:spacing w:after="0" w:line="360" w:lineRule="atLeast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La gestión de las zonas verdes y espacios naturales se integra dentro de la </w:t>
      </w: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Estructura Ecológica Principal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, alineada con el POT (Acuerdo 019 de 2009) y las directrices de la Corporación Autónoma Regional del Quindío (CRQ). </w:t>
      </w:r>
    </w:p>
    <w:p w:rsidR="007C60F2" w:rsidRPr="007C60F2" w:rsidRDefault="007C60F2" w:rsidP="007C60F2">
      <w:pPr>
        <w:numPr>
          <w:ilvl w:val="0"/>
          <w:numId w:val="14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Mantenimiento y Fortalecimiento: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Se asignarán recursos para el mantenimiento y adecuación de la infraestructura deportiva urbana y rural, incluyendo la remodelación del estadio San José (p. 40).</w:t>
      </w:r>
    </w:p>
    <w:p w:rsidR="007C60F2" w:rsidRPr="007C60F2" w:rsidRDefault="007C60F2" w:rsidP="007C60F2">
      <w:pPr>
        <w:numPr>
          <w:ilvl w:val="0"/>
          <w:numId w:val="14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Conservación Ambiental: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El plan enfatiza la importancia de la gestión del riesgo de desastres y la protección de zonas de fragilidad ecológica, lo que implica la preservación de cauces de quebradas y áreas boscosas como espacios públicos protegidos (p. 28).</w:t>
      </w:r>
    </w:p>
    <w:p w:rsidR="007C60F2" w:rsidRPr="007C60F2" w:rsidRDefault="007C60F2" w:rsidP="007C60F2">
      <w:pPr>
        <w:numPr>
          <w:ilvl w:val="0"/>
          <w:numId w:val="14"/>
        </w:numPr>
        <w:shd w:val="clear" w:color="auto" w:fill="101218"/>
        <w:spacing w:after="180" w:line="360" w:lineRule="atLeast"/>
        <w:ind w:left="0"/>
        <w:rPr>
          <w:rFonts w:ascii="Arial" w:eastAsia="Times New Roman" w:hAnsi="Arial" w:cs="Arial"/>
          <w:color w:val="E6E8F0"/>
          <w:sz w:val="24"/>
          <w:szCs w:val="24"/>
          <w:lang w:val="es-ES"/>
        </w:rPr>
      </w:pPr>
      <w:r w:rsidRPr="007C60F2">
        <w:rPr>
          <w:rFonts w:ascii="Arial" w:eastAsia="Times New Roman" w:hAnsi="Arial" w:cs="Arial"/>
          <w:b/>
          <w:bCs/>
          <w:color w:val="E6E8F0"/>
          <w:sz w:val="24"/>
          <w:szCs w:val="24"/>
          <w:lang w:val="es-ES"/>
        </w:rPr>
        <w:t>Mecanismos de Adopción:</w:t>
      </w:r>
      <w:r w:rsidRPr="007C60F2">
        <w:rPr>
          <w:rFonts w:ascii="Arial" w:eastAsia="Times New Roman" w:hAnsi="Arial" w:cs="Arial"/>
          <w:color w:val="E6E8F0"/>
          <w:sz w:val="24"/>
          <w:szCs w:val="24"/>
          <w:lang w:val="es-ES"/>
        </w:rPr>
        <w:t> A través de la normativa municipal, se fomenta la participación del sector privado y la comunidad en la adopción, mantenimiento y sostenibilidad de parques y zonas verdes mediante convenios específicos. </w:t>
      </w:r>
    </w:p>
    <w:p w:rsidR="007C60F2" w:rsidRPr="001F3EF0" w:rsidRDefault="007C60F2">
      <w:pPr>
        <w:rPr>
          <w:lang w:val="es-ES"/>
        </w:rPr>
      </w:pPr>
      <w:bookmarkStart w:id="0" w:name="_GoBack"/>
      <w:bookmarkEnd w:id="0"/>
    </w:p>
    <w:sectPr w:rsidR="007C60F2" w:rsidRPr="001F3E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CFA"/>
    <w:multiLevelType w:val="multilevel"/>
    <w:tmpl w:val="BDD41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2366E"/>
    <w:multiLevelType w:val="multilevel"/>
    <w:tmpl w:val="A1FCD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915D0"/>
    <w:multiLevelType w:val="multilevel"/>
    <w:tmpl w:val="22AC6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CB1690"/>
    <w:multiLevelType w:val="multilevel"/>
    <w:tmpl w:val="B47EE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A41560"/>
    <w:multiLevelType w:val="multilevel"/>
    <w:tmpl w:val="5F9C6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E5196E"/>
    <w:multiLevelType w:val="multilevel"/>
    <w:tmpl w:val="9B0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536E9"/>
    <w:multiLevelType w:val="multilevel"/>
    <w:tmpl w:val="959E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2A1007"/>
    <w:multiLevelType w:val="multilevel"/>
    <w:tmpl w:val="19A4F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D73CE"/>
    <w:multiLevelType w:val="multilevel"/>
    <w:tmpl w:val="EF9E1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5866B3"/>
    <w:multiLevelType w:val="multilevel"/>
    <w:tmpl w:val="393E6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EF537A"/>
    <w:multiLevelType w:val="multilevel"/>
    <w:tmpl w:val="8F20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ED3DE8"/>
    <w:multiLevelType w:val="multilevel"/>
    <w:tmpl w:val="5DA28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9A02AD"/>
    <w:multiLevelType w:val="multilevel"/>
    <w:tmpl w:val="AF14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ED6751"/>
    <w:multiLevelType w:val="multilevel"/>
    <w:tmpl w:val="B4EAF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1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4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EF0"/>
    <w:rsid w:val="001F3EF0"/>
    <w:rsid w:val="00306F40"/>
    <w:rsid w:val="007C60F2"/>
    <w:rsid w:val="00BA156F"/>
    <w:rsid w:val="00C83B12"/>
    <w:rsid w:val="00E25F25"/>
    <w:rsid w:val="00E850FD"/>
    <w:rsid w:val="00F9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02726"/>
  <w15:chartTrackingRefBased/>
  <w15:docId w15:val="{3E4CBEEF-3C54-4946-9A7E-A4D35456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vkekvd">
    <w:name w:val="vkekvd"/>
    <w:basedOn w:val="Fuentedeprrafopredeter"/>
    <w:rsid w:val="001F3EF0"/>
  </w:style>
  <w:style w:type="character" w:customStyle="1" w:styleId="t286pc">
    <w:name w:val="t286pc"/>
    <w:basedOn w:val="Fuentedeprrafopredeter"/>
    <w:rsid w:val="001F3EF0"/>
  </w:style>
  <w:style w:type="character" w:styleId="Textoennegrita">
    <w:name w:val="Strong"/>
    <w:basedOn w:val="Fuentedeprrafopredeter"/>
    <w:uiPriority w:val="22"/>
    <w:qFormat/>
    <w:rsid w:val="001F3EF0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1F3EF0"/>
    <w:rPr>
      <w:color w:val="0000FF"/>
      <w:u w:val="single"/>
    </w:rPr>
  </w:style>
  <w:style w:type="character" w:customStyle="1" w:styleId="dtet0b">
    <w:name w:val="dtet0b"/>
    <w:basedOn w:val="Fuentedeprrafopredeter"/>
    <w:rsid w:val="001F3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9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7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64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70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33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125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ecretariasenado.gov.co/senado/basedoc/ley_0388_1997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ane.gov.co/files/acerca/Normatividad/decreto-1170-2015/Ley-09-de-1989.pdf" TargetMode="External"/><Relationship Id="rId11" Type="http://schemas.openxmlformats.org/officeDocument/2006/relationships/hyperlink" Target="https://www.youtube.com/watch?v=mQd9voTztts" TargetMode="External"/><Relationship Id="rId5" Type="http://schemas.openxmlformats.org/officeDocument/2006/relationships/hyperlink" Target="https://leyes.co/constitucion/82.htm" TargetMode="External"/><Relationship Id="rId10" Type="http://schemas.openxmlformats.org/officeDocument/2006/relationships/hyperlink" Target="https://bogota.gov.co/mi-ciudad/gobierno/expedido-el-decreto-que-reglamenta-los-espacios-publicos-de-bog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biernobogota.gov.co/noticias/ley-1801-convivencia-espacio-publi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castro</dc:creator>
  <cp:keywords/>
  <dc:description/>
  <cp:lastModifiedBy>jaime castro</cp:lastModifiedBy>
  <cp:revision>1</cp:revision>
  <dcterms:created xsi:type="dcterms:W3CDTF">2026-02-08T03:49:00Z</dcterms:created>
  <dcterms:modified xsi:type="dcterms:W3CDTF">2026-02-08T04:23:00Z</dcterms:modified>
</cp:coreProperties>
</file>